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947615D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9725A" w:rsidRPr="00B9725A">
        <w:rPr>
          <w:b/>
          <w:i/>
          <w:noProof/>
          <w:sz w:val="28"/>
        </w:rPr>
        <w:t>S5-24</w:t>
      </w:r>
      <w:r w:rsidR="0003316C">
        <w:rPr>
          <w:b/>
          <w:i/>
          <w:noProof/>
          <w:sz w:val="28"/>
        </w:rPr>
        <w:t>3027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CADB3A2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A607EA">
              <w:rPr>
                <w:b/>
                <w:sz w:val="28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A1C14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9725A">
              <w:rPr>
                <w:b/>
                <w:sz w:val="28"/>
              </w:rPr>
              <w:t>493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344AC48" w:rsidR="001E41F3" w:rsidRPr="006958F1" w:rsidRDefault="00F96EB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A40350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A607EA"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0CE1C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BF62F6">
              <w:t>40</w:t>
            </w:r>
            <w:r w:rsidRPr="000E1C33">
              <w:t xml:space="preserve"> </w:t>
            </w:r>
            <w:r w:rsidR="00BF62F6" w:rsidRPr="00BF62F6">
              <w:t xml:space="preserve">Update </w:t>
            </w:r>
            <w:r w:rsidR="00296F4D">
              <w:t xml:space="preserve">the </w:t>
            </w:r>
            <w:r w:rsidR="00BF62F6" w:rsidRPr="00BF62F6">
              <w:t>B2B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3AE4C4" w:rsidR="001E41F3" w:rsidRPr="006958F1" w:rsidRDefault="00363BA4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E67328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F96EB2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7E180" w14:textId="469D3206" w:rsidR="00136BC8" w:rsidRDefault="00136BC8" w:rsidP="00BF62F6">
            <w:pPr>
              <w:pStyle w:val="CRCoverPage"/>
              <w:spacing w:after="0"/>
            </w:pPr>
            <w:r>
              <w:t>After investigation on the B2B charging annex G, a few errors or missing information are identified based on the Rel-18 progress:</w:t>
            </w:r>
          </w:p>
          <w:p w14:paraId="5E5FA22B" w14:textId="78097014" w:rsidR="00BF62F6" w:rsidRDefault="00136BC8" w:rsidP="00BF62F6">
            <w:pPr>
              <w:pStyle w:val="CRCoverPage"/>
              <w:spacing w:after="0"/>
            </w:pPr>
            <w:r>
              <w:t xml:space="preserve">1. The NSSAA charging in TS 28.204 are not used for the business charging. They should be removed from the examples. </w:t>
            </w:r>
          </w:p>
          <w:p w14:paraId="10D0BF15" w14:textId="57372001" w:rsidR="00136BC8" w:rsidRDefault="00136BC8" w:rsidP="00BF62F6">
            <w:pPr>
              <w:pStyle w:val="CRCoverPage"/>
              <w:spacing w:after="0"/>
            </w:pPr>
            <w:r>
              <w:t>2. In the ProSe charging, the charging information could be per business subscriber directly, i.e. AF.</w:t>
            </w:r>
          </w:p>
          <w:p w14:paraId="558B6F5A" w14:textId="6F87DC21" w:rsidR="00136BC8" w:rsidRDefault="00136BC8" w:rsidP="00BF62F6">
            <w:pPr>
              <w:pStyle w:val="CRCoverPage"/>
              <w:spacing w:after="0"/>
            </w:pPr>
            <w:r>
              <w:t>3. Two different reference points for the interaction between two CHFs</w:t>
            </w:r>
            <w:r w:rsidR="002E1FD3">
              <w:t xml:space="preserve"> </w:t>
            </w:r>
            <w:r>
              <w:t>were introduced in Release 18</w:t>
            </w:r>
            <w:r w:rsidR="002E1FD3">
              <w:t>, i.e. N108 and N107</w:t>
            </w:r>
            <w:r>
              <w:t>. It is better to clarify this difference in this Annex.</w:t>
            </w:r>
          </w:p>
          <w:p w14:paraId="22D8DBEF" w14:textId="1D1D9AB7" w:rsidR="00FC448D" w:rsidRPr="00FB4B2B" w:rsidRDefault="00FC448D" w:rsidP="004C58D3">
            <w:pPr>
              <w:pStyle w:val="CRCoverPage"/>
              <w:spacing w:after="0"/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E5078" w14:textId="29D81B91" w:rsidR="00136BC8" w:rsidRDefault="006603F6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2E1FD3">
              <w:rPr>
                <w:lang w:bidi="ar-IQ"/>
              </w:rPr>
              <w:t>R</w:t>
            </w:r>
            <w:r>
              <w:rPr>
                <w:lang w:bidi="ar-IQ"/>
              </w:rPr>
              <w:t xml:space="preserve">emove </w:t>
            </w:r>
            <w:r w:rsidR="002E1FD3">
              <w:rPr>
                <w:lang w:bidi="ar-IQ"/>
              </w:rPr>
              <w:t xml:space="preserve">the example of </w:t>
            </w:r>
            <w:r>
              <w:rPr>
                <w:lang w:bidi="ar-IQ"/>
              </w:rPr>
              <w:t>SMS charging</w:t>
            </w:r>
            <w:r w:rsidR="002E1FD3">
              <w:rPr>
                <w:lang w:bidi="ar-IQ"/>
              </w:rPr>
              <w:t xml:space="preserve"> and </w:t>
            </w:r>
            <w:r>
              <w:rPr>
                <w:lang w:bidi="ar-IQ"/>
              </w:rPr>
              <w:t xml:space="preserve">NSSAA charging. </w:t>
            </w:r>
          </w:p>
          <w:p w14:paraId="77F140A0" w14:textId="13C5243E" w:rsidR="00136BC8" w:rsidRDefault="00136BC8" w:rsidP="00136BC8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03316C">
              <w:rPr>
                <w:rFonts w:hint="eastAsia"/>
                <w:lang w:eastAsia="zh-CN" w:bidi="ar-IQ"/>
              </w:rPr>
              <w:t>Rephrase</w:t>
            </w:r>
            <w:r>
              <w:rPr>
                <w:lang w:bidi="ar-IQ"/>
              </w:rPr>
              <w:t xml:space="preserve"> the last sentence</w:t>
            </w:r>
            <w:r w:rsidR="006603F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 the example of</w:t>
            </w:r>
            <w:r w:rsidR="006603F6">
              <w:rPr>
                <w:lang w:bidi="ar-IQ"/>
              </w:rPr>
              <w:t xml:space="preserve"> ProSe charging. </w:t>
            </w:r>
          </w:p>
          <w:p w14:paraId="5B560B41" w14:textId="718B0243" w:rsidR="006603F6" w:rsidRDefault="00136BC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3</w:t>
            </w:r>
            <w:r w:rsidR="006603F6">
              <w:rPr>
                <w:lang w:bidi="ar-IQ"/>
              </w:rPr>
              <w:t>. Add the reference points N107 and N108 that differentiate the two inter CHF architectures.</w:t>
            </w:r>
          </w:p>
          <w:p w14:paraId="5E452ADB" w14:textId="10DED0C1" w:rsidR="00136BC8" w:rsidRPr="001F1EAC" w:rsidRDefault="00F35DC8" w:rsidP="002E1FD3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136BC8">
              <w:rPr>
                <w:lang w:bidi="ar-IQ"/>
              </w:rPr>
              <w:t>. Minor fix: change the description for 5G LAN charging. Add the reference to NSACF charging specification TS 28.203.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6C0228B" w:rsidR="001E41F3" w:rsidRPr="006958F1" w:rsidRDefault="006603F6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references for B2B charging architectures and principles is not accurate and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FB45FE" w:rsidR="006E7B97" w:rsidRPr="006958F1" w:rsidRDefault="006603F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G.2.2, G.2.3, G.2.4,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AE76AD" w:rsidR="0022145A" w:rsidRPr="006958F1" w:rsidRDefault="009D00DE">
            <w:pPr>
              <w:pStyle w:val="CRCoverPage"/>
              <w:spacing w:after="0"/>
              <w:ind w:left="100"/>
            </w:pPr>
            <w:r>
              <w:t>Revision of S5-242727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FFB90EA" w14:textId="77777777" w:rsidR="00096B17" w:rsidRDefault="00096B17" w:rsidP="00096B17">
      <w:pPr>
        <w:pStyle w:val="2"/>
        <w:rPr>
          <w:lang w:val="pt-BR" w:eastAsia="zh-CN"/>
        </w:rPr>
      </w:pPr>
      <w:bookmarkStart w:id="4" w:name="_Toc163045091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lang w:val="pt-BR" w:eastAsia="zh-CN"/>
        </w:rPr>
        <w:t>G.2.2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and references</w:t>
      </w:r>
      <w:r>
        <w:rPr>
          <w:lang w:val="pt-BR" w:eastAsia="zh-CN"/>
        </w:rPr>
        <w:t xml:space="preserve"> with B-CHF only</w:t>
      </w:r>
      <w:bookmarkEnd w:id="4"/>
    </w:p>
    <w:p w14:paraId="20F35F4D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In the B2B charging architecture with B-CHF only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business or per consumer but used for business charging purpose. </w:t>
      </w:r>
      <w:r>
        <w:t>When B-CHF or C-CHF may be applicable, is specified in the middle tier charging TSs.</w:t>
      </w:r>
      <w:r>
        <w:rPr>
          <w:lang w:eastAsia="zh-CN"/>
        </w:rPr>
        <w:t xml:space="preserve"> </w:t>
      </w:r>
    </w:p>
    <w:p w14:paraId="339BD9A0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7CF8A1FE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B2B charging with </w:t>
      </w:r>
      <w:r>
        <w:t>B-CHF only</w:t>
      </w:r>
      <w:r>
        <w:rPr>
          <w:lang w:eastAsia="zh-CN"/>
        </w:rPr>
        <w:t>, but not limited to:</w:t>
      </w:r>
    </w:p>
    <w:p w14:paraId="696B896D" w14:textId="77777777" w:rsidR="00096B17" w:rsidRDefault="00096B17" w:rsidP="00096B17">
      <w:pPr>
        <w:pStyle w:val="B10"/>
      </w:pPr>
      <w:r>
        <w:t>-</w:t>
      </w:r>
      <w:r>
        <w:tab/>
        <w:t>Network exposure domain charging: NEF charging per API invocation/notification, as specified in TS 32.254 [14].</w:t>
      </w:r>
    </w:p>
    <w:p w14:paraId="5D841A0D" w14:textId="77777777" w:rsidR="00096B17" w:rsidRDefault="00096B17" w:rsidP="00096B17">
      <w:pPr>
        <w:pStyle w:val="B10"/>
      </w:pPr>
      <w:r>
        <w:t>-</w:t>
      </w:r>
      <w:r>
        <w:tab/>
        <w:t>Edge charging: CEF based charging and EAS deployment charging, as specified in TS 32.257 [17].</w:t>
      </w:r>
    </w:p>
    <w:p w14:paraId="2FE83D70" w14:textId="6CD36651" w:rsidR="00096B17" w:rsidRDefault="00096B17" w:rsidP="00096B1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Short message charging: SMSF charging for IoT, as specified in TS 32.274 [34], in this case the charging information is collected per consumer but </w:t>
      </w:r>
      <w:del w:id="11" w:author="Huawei-rev2" w:date="2024-05-30T05:58:00Z">
        <w:r w:rsidDel="005E5070">
          <w:delText xml:space="preserve">used in a </w:delText>
        </w:r>
      </w:del>
      <w:ins w:id="12" w:author="Huawei-rev2" w:date="2024-05-30T05:58:00Z">
        <w:r w:rsidR="005E5070">
          <w:t xml:space="preserve">is applicable to </w:t>
        </w:r>
      </w:ins>
      <w:r>
        <w:t>business context.</w:t>
      </w:r>
    </w:p>
    <w:p w14:paraId="7B89CDEC" w14:textId="7E473962" w:rsidR="00096B17" w:rsidRDefault="00096B17" w:rsidP="00096B17">
      <w:pPr>
        <w:pStyle w:val="B10"/>
      </w:pPr>
      <w:r>
        <w:t>-</w:t>
      </w:r>
      <w:r>
        <w:tab/>
        <w:t xml:space="preserve">Prose charging: ProSe Function or DDNMF for prose discovery and prose communication charging, as specified in TS 32.277 [37], in this case the charging information is collected per consumer but </w:t>
      </w:r>
      <w:del w:id="13" w:author="Huawei-rev2" w:date="2024-05-30T05:58:00Z">
        <w:r w:rsidDel="005E5070">
          <w:delText>used in a</w:delText>
        </w:r>
      </w:del>
      <w:ins w:id="14" w:author="Huawei-rev2" w:date="2024-05-30T05:58:00Z">
        <w:r w:rsidR="005E5070">
          <w:t>is applicable to</w:t>
        </w:r>
      </w:ins>
      <w:r>
        <w:t xml:space="preserve"> business context. </w:t>
      </w:r>
    </w:p>
    <w:p w14:paraId="70ADC793" w14:textId="1E8616C3" w:rsidR="00096B17" w:rsidRDefault="00096B17" w:rsidP="00096B17">
      <w:pPr>
        <w:pStyle w:val="B10"/>
      </w:pPr>
      <w:r>
        <w:t>-</w:t>
      </w:r>
      <w:r>
        <w:tab/>
        <w:t xml:space="preserve">5G </w:t>
      </w:r>
      <w:r>
        <w:rPr>
          <w:rFonts w:hint="eastAsia"/>
          <w:lang w:eastAsia="zh-CN"/>
        </w:rPr>
        <w:t>LAN</w:t>
      </w:r>
      <w:r>
        <w:t xml:space="preserve"> charging: NEF charging/CEF based charging for 5G </w:t>
      </w:r>
      <w:del w:id="15" w:author="Huawei-155" w:date="2024-05-13T15:21:00Z">
        <w:r w:rsidDel="00296F4D">
          <w:delText>LAN management and configuration</w:delText>
        </w:r>
      </w:del>
      <w:ins w:id="16" w:author="Huawei-155" w:date="2024-05-13T15:21:00Z">
        <w:r w:rsidR="00296F4D">
          <w:t>VN group management</w:t>
        </w:r>
      </w:ins>
      <w:r>
        <w:t>, as specified in TS 32.254 [14].</w:t>
      </w:r>
    </w:p>
    <w:p w14:paraId="55CE4185" w14:textId="3366E1A1" w:rsidR="00096B17" w:rsidRDefault="00096B17" w:rsidP="00096B17">
      <w:pPr>
        <w:pStyle w:val="B10"/>
      </w:pPr>
      <w:r>
        <w:t>-</w:t>
      </w:r>
      <w:r>
        <w:tab/>
        <w:t xml:space="preserve">NPN charging: SMF and AMF charging for the inter-provider charging of NPN, as specified in TS 32.255 [15] and TS 32.256 [16], in this case the charging information is collected per consumer but </w:t>
      </w:r>
      <w:del w:id="17" w:author="Huawei-rev2" w:date="2024-05-30T05:58:00Z">
        <w:r w:rsidDel="005E5070">
          <w:delText>used in a</w:delText>
        </w:r>
      </w:del>
      <w:ins w:id="18" w:author="Huawei-rev2" w:date="2024-05-30T05:58:00Z">
        <w:r w:rsidR="005E5070">
          <w:t>is applicable to</w:t>
        </w:r>
      </w:ins>
      <w:del w:id="19" w:author="Huawei-rev2" w:date="2024-05-30T05:58:00Z">
        <w:r w:rsidDel="005E5070">
          <w:delText xml:space="preserve"> </w:delText>
        </w:r>
      </w:del>
      <w:ins w:id="20" w:author="Huawei-rev2" w:date="2024-05-30T06:02:00Z">
        <w:r w:rsidR="0003316C">
          <w:t xml:space="preserve"> </w:t>
        </w:r>
      </w:ins>
      <w:r>
        <w:t>business context.</w:t>
      </w:r>
    </w:p>
    <w:p w14:paraId="64B4738A" w14:textId="2CED18BA" w:rsidR="00096B17" w:rsidRDefault="00096B17" w:rsidP="00096B17">
      <w:pPr>
        <w:pStyle w:val="B10"/>
      </w:pPr>
      <w:r>
        <w:t>-</w:t>
      </w:r>
      <w:r>
        <w:tab/>
        <w:t>Network slice charging: NSPA, NSM</w:t>
      </w:r>
      <w:ins w:id="21" w:author="Huawei-155" w:date="2024-05-13T15:21:00Z">
        <w:r w:rsidR="00296F4D">
          <w:t xml:space="preserve"> and</w:t>
        </w:r>
      </w:ins>
      <w:del w:id="22" w:author="Huawei-155" w:date="2024-05-13T15:21:00Z">
        <w:r w:rsidDel="00296F4D">
          <w:delText>,</w:delText>
        </w:r>
      </w:del>
      <w:r>
        <w:t xml:space="preserve"> NSACF </w:t>
      </w:r>
      <w:del w:id="23" w:author="Huawei-155" w:date="2024-05-09T15:39:00Z">
        <w:r w:rsidDel="00465D53">
          <w:delText xml:space="preserve">and NSSAAF </w:delText>
        </w:r>
      </w:del>
      <w:r>
        <w:t>charging per S-NSSAI for network slice, specified in TS 28.201 [70], TS 28.202 [71]</w:t>
      </w:r>
      <w:ins w:id="24" w:author="Huawei-155" w:date="2024-05-13T15:21:00Z">
        <w:r w:rsidR="00296F4D">
          <w:t xml:space="preserve"> and </w:t>
        </w:r>
      </w:ins>
      <w:ins w:id="25" w:author="Huawei-155" w:date="2024-05-07T11:03:00Z">
        <w:r w:rsidR="000C3553">
          <w:t xml:space="preserve">TS 28.203 </w:t>
        </w:r>
      </w:ins>
      <w:ins w:id="26" w:author="Huawei-155" w:date="2024-05-07T11:04:00Z">
        <w:r w:rsidR="000C3553">
          <w:t>[72]</w:t>
        </w:r>
      </w:ins>
      <w:r>
        <w:t xml:space="preserve">. </w:t>
      </w:r>
    </w:p>
    <w:p w14:paraId="79C1685F" w14:textId="16BC976D" w:rsidR="00096B17" w:rsidRDefault="00096B17" w:rsidP="00096B17">
      <w:pPr>
        <w:pStyle w:val="B10"/>
      </w:pPr>
      <w:r>
        <w:t>-</w:t>
      </w:r>
      <w:r>
        <w:tab/>
        <w:t xml:space="preserve">TSN charging: TSN AF charging for TSN Bridge management and configuration, NEF and TSCTSF charging for the enabler </w:t>
      </w:r>
      <w:r w:rsidRPr="00E11F78">
        <w:t>of TSC and TS</w:t>
      </w:r>
      <w:r>
        <w:t>, specified in TS 32.282 [42]</w:t>
      </w:r>
      <w:r w:rsidRPr="00E11F7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F4D" w:rsidRPr="006958F1" w14:paraId="2EAED5D6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67CCE" w14:textId="5E21B082" w:rsidR="00296F4D" w:rsidRPr="006958F1" w:rsidRDefault="00296F4D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CDEC4A" w14:textId="77777777" w:rsidR="00096B17" w:rsidRDefault="00096B17" w:rsidP="00096B17">
      <w:pPr>
        <w:pStyle w:val="2"/>
        <w:rPr>
          <w:lang w:val="pt-BR" w:eastAsia="zh-CN"/>
        </w:rPr>
      </w:pPr>
      <w:bookmarkStart w:id="27" w:name="_Toc163045092"/>
      <w:r>
        <w:rPr>
          <w:lang w:val="pt-BR" w:eastAsia="zh-CN"/>
        </w:rPr>
        <w:t>G.2.3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</w:t>
      </w:r>
      <w:r w:rsidRPr="00FF61F9">
        <w:rPr>
          <w:lang w:val="pt-BR" w:eastAsia="zh-CN"/>
        </w:rPr>
        <w:t xml:space="preserve">nd references with </w:t>
      </w:r>
      <w:r>
        <w:rPr>
          <w:lang w:eastAsia="zh-CN"/>
        </w:rPr>
        <w:t>B-</w:t>
      </w:r>
      <w:r w:rsidRPr="00FF61F9">
        <w:rPr>
          <w:lang w:eastAsia="zh-CN"/>
        </w:rPr>
        <w:t xml:space="preserve">CHF via </w:t>
      </w:r>
      <w:r>
        <w:rPr>
          <w:lang w:eastAsia="zh-CN"/>
        </w:rPr>
        <w:t>C-</w:t>
      </w:r>
      <w:r w:rsidRPr="00FF61F9">
        <w:rPr>
          <w:lang w:eastAsia="zh-CN"/>
        </w:rPr>
        <w:t>CHF</w:t>
      </w:r>
      <w:bookmarkEnd w:id="27"/>
    </w:p>
    <w:p w14:paraId="75EE9C62" w14:textId="586F4841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In the </w:t>
      </w:r>
      <w:r>
        <w:rPr>
          <w:lang w:val="pt-BR" w:eastAsia="zh-CN"/>
        </w:rPr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</w:t>
      </w:r>
      <w:ins w:id="28" w:author="Huawei-155" w:date="2024-05-07T11:08:00Z">
        <w:r w:rsidR="002A1232">
          <w:rPr>
            <w:lang w:val="pt-BR" w:eastAsia="zh-CN"/>
          </w:rPr>
          <w:t xml:space="preserve">where the NF (CTF) have direct C-CHF interaction and where the </w:t>
        </w:r>
      </w:ins>
      <w:del w:id="29" w:author="Huawei-155" w:date="2024-05-07T11:08:00Z">
        <w:r w:rsidRPr="00FF61F9" w:rsidDel="002A1232">
          <w:rPr>
            <w:lang w:val="pt-BR" w:eastAsia="zh-CN"/>
          </w:rPr>
          <w:delText>with</w:delText>
        </w:r>
      </w:del>
      <w:r w:rsidRPr="00FF61F9">
        <w:rPr>
          <w:lang w:val="pt-BR" w:eastAsia="zh-CN"/>
        </w:rPr>
        <w:t xml:space="preserve"> </w:t>
      </w:r>
      <w:del w:id="30" w:author="Huawei-155" w:date="2024-05-07T11:08:00Z">
        <w:r w:rsidDel="002A1232">
          <w:rPr>
            <w:lang w:eastAsia="zh-CN"/>
          </w:rPr>
          <w:delText>B-</w:delText>
        </w:r>
        <w:r w:rsidRPr="00FF61F9" w:rsidDel="002A1232">
          <w:rPr>
            <w:lang w:eastAsia="zh-CN"/>
          </w:rPr>
          <w:delText xml:space="preserve">CHF via </w:delText>
        </w:r>
      </w:del>
      <w:r>
        <w:rPr>
          <w:lang w:eastAsia="zh-CN"/>
        </w:rPr>
        <w:t>C-</w:t>
      </w:r>
      <w:r w:rsidRPr="00FF61F9">
        <w:rPr>
          <w:lang w:eastAsia="zh-CN"/>
        </w:rPr>
        <w:t>CHF</w:t>
      </w:r>
      <w:r>
        <w:rPr>
          <w:lang w:eastAsia="zh-CN"/>
        </w:rPr>
        <w:t xml:space="preserve"> interact</w:t>
      </w:r>
      <w:del w:id="31" w:author="Huawei-155" w:date="2024-05-07T11:08:00Z">
        <w:r w:rsidDel="002A1232">
          <w:rPr>
            <w:lang w:eastAsia="zh-CN"/>
          </w:rPr>
          <w:delText>ion</w:delText>
        </w:r>
      </w:del>
      <w:ins w:id="32" w:author="Huawei-155" w:date="2024-05-07T11:08:00Z">
        <w:r w:rsidR="002A1232">
          <w:rPr>
            <w:lang w:eastAsia="zh-CN"/>
          </w:rPr>
          <w:t xml:space="preserve"> with the B-CHF using N108 reference point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consumer. </w:t>
      </w:r>
    </w:p>
    <w:p w14:paraId="5DF2631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C-CHF performs charging functionalities for the consumer.</w:t>
      </w:r>
    </w:p>
    <w:p w14:paraId="36CF92F7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5445D70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 w:rsidRPr="007A049D">
        <w:t>business CHF via consumer CHF</w:t>
      </w:r>
      <w:r>
        <w:t xml:space="preserve"> </w:t>
      </w:r>
      <w:r>
        <w:rPr>
          <w:lang w:eastAsia="zh-CN"/>
        </w:rPr>
        <w:t>include, but not limited to:</w:t>
      </w:r>
    </w:p>
    <w:p w14:paraId="16565A4B" w14:textId="77777777" w:rsidR="00096B17" w:rsidRDefault="00096B17" w:rsidP="00096B17">
      <w:pPr>
        <w:pStyle w:val="B10"/>
      </w:pPr>
      <w:r>
        <w:t>-</w:t>
      </w:r>
      <w:r>
        <w:tab/>
        <w:t xml:space="preserve">Network slice charging: </w:t>
      </w:r>
      <w:r>
        <w:rPr>
          <w:lang w:bidi="ar-IQ"/>
        </w:rPr>
        <w:t>inter CHF interaction</w:t>
      </w:r>
      <w:r w:rsidRPr="00574DAF">
        <w:rPr>
          <w:lang w:bidi="ar-IQ"/>
        </w:rPr>
        <w:t xml:space="preserve"> to support converged charging for tenant and UEs belonging to the tenant at same time</w:t>
      </w:r>
      <w:r>
        <w:t xml:space="preserve">, </w:t>
      </w:r>
      <w:r>
        <w:rPr>
          <w:lang w:eastAsia="ja-JP"/>
        </w:rPr>
        <w:t xml:space="preserve">as </w:t>
      </w:r>
      <w:r>
        <w:t>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 xml:space="preserve">. </w:t>
      </w:r>
    </w:p>
    <w:p w14:paraId="09D2BEAC" w14:textId="77777777" w:rsidR="00096B17" w:rsidRDefault="00096B17">
      <w:pPr>
        <w:pStyle w:val="B10"/>
        <w:pPrChange w:id="33" w:author="Huawei-155" w:date="2024-05-07T11:03:00Z">
          <w:pPr/>
        </w:pPrChange>
      </w:pPr>
      <w:r>
        <w:t>-</w:t>
      </w:r>
      <w:r>
        <w:tab/>
        <w:t xml:space="preserve">TSN charging: inter CHF interaction to support converged charging for TSC traffic belonging to the same </w:t>
      </w:r>
      <w:r w:rsidRPr="0018636C">
        <w:t>TSN bridge</w:t>
      </w:r>
      <w:r>
        <w:t>, as 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>.</w:t>
      </w:r>
    </w:p>
    <w:p w14:paraId="74E994A3" w14:textId="77777777" w:rsidR="00096B17" w:rsidRPr="00791542" w:rsidRDefault="00096B17" w:rsidP="00096B17">
      <w:pPr>
        <w:pStyle w:val="2"/>
        <w:rPr>
          <w:lang w:eastAsia="zh-CN"/>
        </w:rPr>
      </w:pPr>
      <w:bookmarkStart w:id="34" w:name="_Toc163045093"/>
      <w:r>
        <w:rPr>
          <w:lang w:eastAsia="zh-CN"/>
        </w:rPr>
        <w:lastRenderedPageBreak/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34"/>
    </w:p>
    <w:p w14:paraId="3FF82E58" w14:textId="59E99DA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</w:t>
      </w:r>
      <w:ins w:id="35" w:author="Huawei-155" w:date="2024-05-07T11:07:00Z">
        <w:r w:rsidR="002A1232">
          <w:rPr>
            <w:lang w:eastAsia="zh-CN"/>
          </w:rPr>
          <w:t xml:space="preserve"> using N107 reference point</w:t>
        </w:r>
      </w:ins>
      <w:r w:rsidRPr="00791542">
        <w:rPr>
          <w:lang w:eastAsia="zh-CN"/>
        </w:rPr>
        <w:t>, the charging information collected by the NF (CTF) is per consumer and</w:t>
      </w:r>
      <w:r w:rsidRPr="00791542">
        <w:t xml:space="preserve"> used for both B2C and B2B charging.</w:t>
      </w:r>
    </w:p>
    <w:p w14:paraId="2F16CCFF" w14:textId="7777777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18C3231D" w14:textId="77777777" w:rsidR="00096B17" w:rsidRPr="00791542" w:rsidRDefault="00096B17" w:rsidP="00096B17">
      <w:pPr>
        <w:pStyle w:val="B10"/>
      </w:pPr>
      <w:r w:rsidRPr="00791542">
        <w:t>-</w:t>
      </w:r>
      <w:r w:rsidRPr="00791542">
        <w:tab/>
        <w:t xml:space="preserve">5G </w:t>
      </w:r>
      <w:r>
        <w:t xml:space="preserve">data </w:t>
      </w:r>
      <w:r w:rsidRPr="00791542">
        <w:t xml:space="preserve">connectivity charging in local breakout </w:t>
      </w:r>
      <w:r>
        <w:t xml:space="preserve">roaming </w:t>
      </w:r>
      <w:r w:rsidRPr="00791542">
        <w:t xml:space="preserve">scenario, as specified in </w:t>
      </w:r>
      <w:r w:rsidRPr="00424394">
        <w:t xml:space="preserve">Figure </w:t>
      </w:r>
      <w:r>
        <w:t>4.2.6a</w:t>
      </w:r>
      <w:r w:rsidRPr="00791542">
        <w:t xml:space="preserve"> </w:t>
      </w:r>
      <w:r>
        <w:t xml:space="preserve">of </w:t>
      </w:r>
      <w:r w:rsidRPr="00791542">
        <w:t>TS 32.255 [15]</w:t>
      </w:r>
      <w:r>
        <w:t>;</w:t>
      </w:r>
    </w:p>
    <w:p w14:paraId="1126C629" w14:textId="0B884503" w:rsidR="00096B17" w:rsidRDefault="00096B17" w:rsidP="00096B17">
      <w:pPr>
        <w:pStyle w:val="B10"/>
      </w:pPr>
      <w:r w:rsidRPr="00791542">
        <w:t>-</w:t>
      </w:r>
      <w:r w:rsidRPr="00791542">
        <w:tab/>
        <w:t xml:space="preserve">5G connection and mobility charging, in local breakout </w:t>
      </w:r>
      <w:r>
        <w:t xml:space="preserve">roaming </w:t>
      </w:r>
      <w:r w:rsidRPr="00791542">
        <w:t xml:space="preserve">scenario, </w:t>
      </w:r>
      <w:r>
        <w:t>as specified in Figure 4.2</w:t>
      </w:r>
      <w:r w:rsidRPr="00424394">
        <w:t>.</w:t>
      </w:r>
      <w:r>
        <w:t xml:space="preserve">2.3 of </w:t>
      </w:r>
      <w:r w:rsidRPr="00791542">
        <w:t>TS 32.256 [16]</w:t>
      </w:r>
      <w:r>
        <w:t>;</w:t>
      </w:r>
    </w:p>
    <w:p w14:paraId="75C2534F" w14:textId="2E33F346" w:rsidR="005E5070" w:rsidRPr="006B31BC" w:rsidRDefault="005E5070" w:rsidP="00686AEF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04E4A3" w14:textId="1E9C7FB8" w:rsidR="00BD5EFF" w:rsidRDefault="00BD5EFF" w:rsidP="00D33D11">
      <w:pPr>
        <w:rPr>
          <w:noProof/>
        </w:rPr>
      </w:pPr>
      <w:bookmarkStart w:id="36" w:name="_GoBack"/>
      <w:bookmarkEnd w:id="5"/>
      <w:bookmarkEnd w:id="6"/>
      <w:bookmarkEnd w:id="7"/>
      <w:bookmarkEnd w:id="8"/>
      <w:bookmarkEnd w:id="9"/>
      <w:bookmarkEnd w:id="10"/>
      <w:bookmarkEnd w:id="36"/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E538C" w14:textId="77777777" w:rsidR="00DA3D1D" w:rsidRDefault="00DA3D1D">
      <w:r>
        <w:separator/>
      </w:r>
    </w:p>
  </w:endnote>
  <w:endnote w:type="continuationSeparator" w:id="0">
    <w:p w14:paraId="7E3C0578" w14:textId="77777777" w:rsidR="00DA3D1D" w:rsidRDefault="00DA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37E28" w14:textId="77777777" w:rsidR="00DA3D1D" w:rsidRDefault="00DA3D1D">
      <w:r>
        <w:separator/>
      </w:r>
    </w:p>
  </w:footnote>
  <w:footnote w:type="continuationSeparator" w:id="0">
    <w:p w14:paraId="5127593A" w14:textId="77777777" w:rsidR="00DA3D1D" w:rsidRDefault="00DA3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3103"/>
    <w:rsid w:val="00024F3E"/>
    <w:rsid w:val="00025F55"/>
    <w:rsid w:val="00030D07"/>
    <w:rsid w:val="00030E11"/>
    <w:rsid w:val="0003316C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96B17"/>
    <w:rsid w:val="000A2500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3553"/>
    <w:rsid w:val="000C477F"/>
    <w:rsid w:val="000C53C2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01402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6BC8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1AEF"/>
    <w:rsid w:val="00174885"/>
    <w:rsid w:val="00177D18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D60BA"/>
    <w:rsid w:val="001E14FB"/>
    <w:rsid w:val="001E41F3"/>
    <w:rsid w:val="001E5973"/>
    <w:rsid w:val="001E7FEA"/>
    <w:rsid w:val="001F030D"/>
    <w:rsid w:val="001F1EAC"/>
    <w:rsid w:val="001F3AD0"/>
    <w:rsid w:val="001F4CF8"/>
    <w:rsid w:val="001F6452"/>
    <w:rsid w:val="001F67B7"/>
    <w:rsid w:val="00200939"/>
    <w:rsid w:val="00212F43"/>
    <w:rsid w:val="00213CC8"/>
    <w:rsid w:val="00214839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456D"/>
    <w:rsid w:val="002950D8"/>
    <w:rsid w:val="00296F4D"/>
    <w:rsid w:val="00297D02"/>
    <w:rsid w:val="002A123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C17B5"/>
    <w:rsid w:val="002D75B4"/>
    <w:rsid w:val="002E1FD3"/>
    <w:rsid w:val="002E2F3D"/>
    <w:rsid w:val="002E37CA"/>
    <w:rsid w:val="002E599E"/>
    <w:rsid w:val="002F0578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63BA4"/>
    <w:rsid w:val="00370FB4"/>
    <w:rsid w:val="00371085"/>
    <w:rsid w:val="00374DD4"/>
    <w:rsid w:val="003778C3"/>
    <w:rsid w:val="00384330"/>
    <w:rsid w:val="00393889"/>
    <w:rsid w:val="00394D84"/>
    <w:rsid w:val="003A03A8"/>
    <w:rsid w:val="003A3BCB"/>
    <w:rsid w:val="003A4FD2"/>
    <w:rsid w:val="003A5C73"/>
    <w:rsid w:val="003B34A6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E7D79"/>
    <w:rsid w:val="003F2C39"/>
    <w:rsid w:val="003F61E9"/>
    <w:rsid w:val="003F6C49"/>
    <w:rsid w:val="003F7D50"/>
    <w:rsid w:val="00403D3C"/>
    <w:rsid w:val="00405B1B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30AB"/>
    <w:rsid w:val="00444959"/>
    <w:rsid w:val="00445FCC"/>
    <w:rsid w:val="00451D32"/>
    <w:rsid w:val="0045552D"/>
    <w:rsid w:val="0045584F"/>
    <w:rsid w:val="0045728F"/>
    <w:rsid w:val="004649C6"/>
    <w:rsid w:val="00465D53"/>
    <w:rsid w:val="00470E76"/>
    <w:rsid w:val="00476A15"/>
    <w:rsid w:val="00480CA9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6EE8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5070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1253"/>
    <w:rsid w:val="00654251"/>
    <w:rsid w:val="00657C1D"/>
    <w:rsid w:val="006603F6"/>
    <w:rsid w:val="00664398"/>
    <w:rsid w:val="006717FE"/>
    <w:rsid w:val="0067204E"/>
    <w:rsid w:val="00672C51"/>
    <w:rsid w:val="006744AA"/>
    <w:rsid w:val="0067561C"/>
    <w:rsid w:val="006803F2"/>
    <w:rsid w:val="00681905"/>
    <w:rsid w:val="00682F47"/>
    <w:rsid w:val="00685491"/>
    <w:rsid w:val="006861EB"/>
    <w:rsid w:val="00686AEF"/>
    <w:rsid w:val="00690BD8"/>
    <w:rsid w:val="00691016"/>
    <w:rsid w:val="006941B5"/>
    <w:rsid w:val="00695808"/>
    <w:rsid w:val="006958F1"/>
    <w:rsid w:val="006A31CC"/>
    <w:rsid w:val="006A4050"/>
    <w:rsid w:val="006B46FB"/>
    <w:rsid w:val="006C1EB9"/>
    <w:rsid w:val="006C2307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25D4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C6E40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1DEA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64D49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343A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50D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73B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0DE"/>
    <w:rsid w:val="009D0329"/>
    <w:rsid w:val="009D0DFF"/>
    <w:rsid w:val="009D58AC"/>
    <w:rsid w:val="009D5F52"/>
    <w:rsid w:val="009D62CA"/>
    <w:rsid w:val="009D7C35"/>
    <w:rsid w:val="009E0B89"/>
    <w:rsid w:val="009E3297"/>
    <w:rsid w:val="009E3BCA"/>
    <w:rsid w:val="009E46FE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07EA"/>
    <w:rsid w:val="00A61438"/>
    <w:rsid w:val="00A61D83"/>
    <w:rsid w:val="00A62882"/>
    <w:rsid w:val="00A62EEB"/>
    <w:rsid w:val="00A63578"/>
    <w:rsid w:val="00A641ED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A3A0E"/>
    <w:rsid w:val="00AB0B3F"/>
    <w:rsid w:val="00AC2286"/>
    <w:rsid w:val="00AC320F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44CC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17A8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C96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9725A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083"/>
    <w:rsid w:val="00BE236E"/>
    <w:rsid w:val="00BE4074"/>
    <w:rsid w:val="00BE580F"/>
    <w:rsid w:val="00BF0563"/>
    <w:rsid w:val="00BF08C4"/>
    <w:rsid w:val="00BF33DD"/>
    <w:rsid w:val="00BF62F6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3D69"/>
    <w:rsid w:val="00C54411"/>
    <w:rsid w:val="00C5711D"/>
    <w:rsid w:val="00C62204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C732F"/>
    <w:rsid w:val="00CD76AB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5811"/>
    <w:rsid w:val="00D9093A"/>
    <w:rsid w:val="00D93D0F"/>
    <w:rsid w:val="00D96A46"/>
    <w:rsid w:val="00DA1B5F"/>
    <w:rsid w:val="00DA3D1D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011D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DB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311A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35DC8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139"/>
    <w:rsid w:val="00F85598"/>
    <w:rsid w:val="00F85A25"/>
    <w:rsid w:val="00F86A59"/>
    <w:rsid w:val="00F86EEB"/>
    <w:rsid w:val="00F92F62"/>
    <w:rsid w:val="00F942D7"/>
    <w:rsid w:val="00F96EB2"/>
    <w:rsid w:val="00FA4128"/>
    <w:rsid w:val="00FA55D8"/>
    <w:rsid w:val="00FA71BC"/>
    <w:rsid w:val="00FA7B5D"/>
    <w:rsid w:val="00FA7C2A"/>
    <w:rsid w:val="00FB2D4A"/>
    <w:rsid w:val="00FB3DBA"/>
    <w:rsid w:val="00FB4B2B"/>
    <w:rsid w:val="00FB6386"/>
    <w:rsid w:val="00FB74FA"/>
    <w:rsid w:val="00FC0703"/>
    <w:rsid w:val="00FC448D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055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96F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ECBBC-A416-4D8C-A7B2-4B52D2CA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2024-05-30T22:14:00Z</dcterms:created>
  <dcterms:modified xsi:type="dcterms:W3CDTF">2024-05-30T22:15:00Z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(3)AAQicx8ZbkvO9mzUXwfJxOTVfADrxkSFcgMm1jULz9wzcgEUnhbNPUHFByWJiyse7yY9tq2j
8cN3d1HEXZjr52z/4GVfpal7JMH0miP/V9P0mxzWSWkFgRR2ei98zuuQCKoRE0apPKczAH+4
d3KQW3CkWCiemdpVZ4xUenG/qDV0mx+Qz/aoTxW0gEgXLx5SOzk/TLOFOxJJd8H3NqfV/+SR
3bMXVn0oXNdrfgbt4K</vt:lpwstr>
  </property>
  <property fmtid="{D5CDD505-2E9C-101B-9397-08002B2CF9AE}" pid="23" name="_2015_ms_pID_7253431">
    <vt:lpwstr>MQcWQAUDXs7Fn9XqU6ehtfM1zoEBE+JGm3CJhBgPdNKT2+6oboIOHY
9RV7CG2aLTQHXc1Y7Ufclz2TsKVjtU8QyaXCQgSvyUg18as7FGpGaHSuUeGvXbwWgzqsA27V
9eCYSlYgCiDZiNliqUUoP2ynb7oQwlzUgksvBU85x0KR4C9VZmJNwtfGNV+/RQlotU34zAMB
J3j5opL20PJB66UM/Mg1u7Cynsp5D4MVNYuW</vt:lpwstr>
  </property>
  <property fmtid="{D5CDD505-2E9C-101B-9397-08002B2CF9AE}" pid="24" name="_2015_ms_pID_7253432">
    <vt:lpwstr>O8Dis1KJGL+4Umd1BeJ3edo=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